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>3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shd w:val="clear" w:color="auto" w:fill="FFFFFF"/>
          <w:lang/>
        </w:rPr>
        <w:t>Title</w:t>
      </w:r>
      <w:r>
        <w:rPr>
          <w:rFonts w:ascii="微软雅黑" w:eastAsia="微软雅黑" w:hAnsi="微软雅黑" w:cs="微软雅黑"/>
          <w:b/>
          <w:bCs/>
          <w:color w:val="000000"/>
          <w:kern w:val="0"/>
          <w:szCs w:val="21"/>
          <w:shd w:val="clear" w:color="auto" w:fill="FFFFFF"/>
          <w:lang/>
        </w:rPr>
        <w:t>: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shd w:val="clear" w:color="auto" w:fill="FFFFFF"/>
          <w:lang/>
        </w:rPr>
        <w:t xml:space="preserve"> </w:t>
      </w:r>
      <w:bookmarkStart w:id="0" w:name="OLE_LINK14"/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An automated approach for detecting and repairing cross browser compatibility issues on Android apps </w:t>
      </w:r>
      <w:bookmarkEnd w:id="0"/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b/>
          <w:bCs/>
          <w:color w:val="000000"/>
          <w:kern w:val="0"/>
          <w:szCs w:val="21"/>
          <w:shd w:val="clear" w:color="auto" w:fill="FFFFFF"/>
          <w:lang/>
        </w:rPr>
        <w:t>Supervisors: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shd w:val="clear" w:color="auto" w:fill="FFFFFF"/>
          <w:lang/>
        </w:rPr>
        <w:t xml:space="preserve"> 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 xml:space="preserve">Dr. </w:t>
      </w:r>
      <w:bookmarkStart w:id="1" w:name="OLE_LINK4"/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Shin Hwei Tan</w:t>
      </w:r>
      <w:bookmarkStart w:id="2" w:name="OLE_LINK24"/>
      <w:bookmarkEnd w:id="1"/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 xml:space="preserve"> (SUSTech)</w:t>
      </w:r>
      <w:bookmarkEnd w:id="2"/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 xml:space="preserve"> and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 xml:space="preserve"> Dr. </w:t>
      </w:r>
      <w:bookmarkStart w:id="3" w:name="OLE_LINK5"/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Yulei Sui</w:t>
      </w:r>
      <w:bookmarkEnd w:id="3"/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 xml:space="preserve"> (UTS)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/>
          <w:b/>
          <w:bCs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b/>
          <w:bCs/>
          <w:color w:val="000000"/>
          <w:kern w:val="0"/>
          <w:szCs w:val="21"/>
          <w:shd w:val="clear" w:color="auto" w:fill="FFFFFF"/>
          <w:lang/>
        </w:rPr>
        <w:t xml:space="preserve">Abstract: 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This project examines on CBC (“cross-browser-compatibility”) only for Android apps (for example; Webview) and also examines potential solutions for this issue. By conducting this research, legacy system and modern system can be easily integrated without effecting existing business logic.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There are two phases of this project: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1) Identify all possible CBC issues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a. Collect all possible crashes by stimulating system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b. Capture all possible observable screen level differences by comparing consecutive occurrences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c. Categorize outcomes based on response features within Android Activity lifecycle and passing data to other systems 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2) Provide solution in non-technical way to user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a. Conduct automated interactive intelligent tutoring</w:t>
      </w:r>
    </w:p>
    <w:p w:rsidR="000B34CD" w:rsidRDefault="000B34CD" w:rsidP="000B34CD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b. Select the best solution using data driven approach</w:t>
      </w:r>
    </w:p>
    <w:p w:rsidR="00DE25A3" w:rsidRDefault="00DE25A3"/>
    <w:sectPr w:rsidR="00DE2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A3" w:rsidRDefault="00DE25A3" w:rsidP="000B34CD">
      <w:r>
        <w:separator/>
      </w:r>
    </w:p>
  </w:endnote>
  <w:endnote w:type="continuationSeparator" w:id="1">
    <w:p w:rsidR="00DE25A3" w:rsidRDefault="00DE25A3" w:rsidP="000B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A3" w:rsidRDefault="00DE25A3" w:rsidP="000B34CD">
      <w:r>
        <w:separator/>
      </w:r>
    </w:p>
  </w:footnote>
  <w:footnote w:type="continuationSeparator" w:id="1">
    <w:p w:rsidR="00DE25A3" w:rsidRDefault="00DE25A3" w:rsidP="000B3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4CD"/>
    <w:rsid w:val="000B34CD"/>
    <w:rsid w:val="00D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4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2018-10-23T06:37:00Z</dcterms:created>
  <dcterms:modified xsi:type="dcterms:W3CDTF">2018-10-23T06:38:00Z</dcterms:modified>
</cp:coreProperties>
</file>