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>7</w:t>
      </w:r>
    </w:p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  <w:t xml:space="preserve">Title: </w:t>
      </w:r>
    </w:p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Event-based Machine Learning Visual Analytics for BlockChain Pattern Exploration </w:t>
      </w:r>
    </w:p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  <w:t xml:space="preserve">Supervisors: </w:t>
      </w:r>
      <w:bookmarkStart w:id="0" w:name="OLE_LINK10"/>
    </w:p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Zongwei Luo</w:t>
      </w:r>
      <w:bookmarkEnd w:id="0"/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 xml:space="preserve"> (SUSTech)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 and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 xml:space="preserve"> </w:t>
      </w:r>
      <w:bookmarkStart w:id="1" w:name="OLE_LINK11"/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Christy Liang</w:t>
      </w:r>
      <w:bookmarkEnd w:id="1"/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 xml:space="preserve"> (UTS)</w:t>
      </w:r>
    </w:p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b/>
          <w:bCs/>
          <w:color w:val="000000"/>
          <w:kern w:val="0"/>
          <w:szCs w:val="21"/>
          <w:shd w:val="clear" w:color="auto" w:fill="FFFFFF"/>
          <w:lang/>
        </w:rPr>
        <w:t>Abstract: </w:t>
      </w:r>
    </w:p>
    <w:p w:rsidR="009502CF" w:rsidRDefault="009502CF" w:rsidP="009502CF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val="en-AU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val="en-AU"/>
        </w:rPr>
        <w:t>Existing and potential users are exploring how to integrate and streamline BlockChain technology into different business processes, financial services, and other applications. 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val="en-AU"/>
        </w:rPr>
        <w:t>BlockChain technology offers opportunities to replace traditional business rules but also raises a great number of unanswered questions.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 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val="en-AU"/>
        </w:rPr>
        <w:t>This research mission lies in the good understanding the nature of digital currency and block-chain, and in investigating underlying reasons behind block-chain transactions, and in identifying the relationships between different factors, which may impact transactions or events. To meet the challenges, we propose to develop a collaborative visual analytics platform supported by explainable machine learning. The proposed system should have the ability to integrate heterogeneous data on the same platform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, including transaction data, news data, and financial data etc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val="en-AU"/>
        </w:rPr>
        <w:t>. Specifically, the approach should achieve five capabilities, 1) Identifying nodes, chains, and blocks; 2) Comparing and investigating blocks and events 3) Exploring correlations between events 4) Discovering the potential factors impacting events, casual-effect analysis 5) Replaying for validation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val="en-AU"/>
        </w:rPr>
        <w:t>. 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val="en-AU"/>
        </w:rPr>
        <w:t xml:space="preserve">We will introduce novel interactive visualization methods 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val="en-AU"/>
        </w:rPr>
        <w:lastRenderedPageBreak/>
        <w:t>in the system supported by machine intelligence machine, to assist users in exploring and investigating the journey of blockchain based on heterogeneous data, through interactive visual exploration. </w:t>
      </w:r>
    </w:p>
    <w:p w:rsidR="00072A6D" w:rsidRPr="009502CF" w:rsidRDefault="00072A6D">
      <w:pPr>
        <w:rPr>
          <w:lang w:val="en-AU"/>
        </w:rPr>
      </w:pPr>
    </w:p>
    <w:sectPr w:rsidR="00072A6D" w:rsidRPr="0095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6D" w:rsidRDefault="00072A6D" w:rsidP="009502CF">
      <w:r>
        <w:separator/>
      </w:r>
    </w:p>
  </w:endnote>
  <w:endnote w:type="continuationSeparator" w:id="1">
    <w:p w:rsidR="00072A6D" w:rsidRDefault="00072A6D" w:rsidP="0095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6D" w:rsidRDefault="00072A6D" w:rsidP="009502CF">
      <w:r>
        <w:separator/>
      </w:r>
    </w:p>
  </w:footnote>
  <w:footnote w:type="continuationSeparator" w:id="1">
    <w:p w:rsidR="00072A6D" w:rsidRDefault="00072A6D" w:rsidP="00950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2CF"/>
    <w:rsid w:val="00072A6D"/>
    <w:rsid w:val="0095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2018-10-23T06:42:00Z</dcterms:created>
  <dcterms:modified xsi:type="dcterms:W3CDTF">2018-10-23T06:42:00Z</dcterms:modified>
</cp:coreProperties>
</file>